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:rsidR="002F5C5E" w:rsidRPr="009E2B84" w:rsidRDefault="00713633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:rsidR="002F5C5E" w:rsidRPr="00BE2A3F" w:rsidRDefault="00A55825" w:rsidP="00AC4A9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General Licensing Committee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F5C5E" w:rsidRPr="009E2B84" w:rsidRDefault="00B93AA2" w:rsidP="004774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378EB">
              <w:rPr>
                <w:b/>
              </w:rPr>
              <w:t xml:space="preserve"> November 2018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:rsidR="001B1D4F" w:rsidRPr="009E2B84" w:rsidRDefault="00BD4E66" w:rsidP="001B1D4F">
            <w:pPr>
              <w:rPr>
                <w:b/>
              </w:rPr>
            </w:pPr>
            <w:r w:rsidRPr="00BD4E66">
              <w:rPr>
                <w:b/>
              </w:rPr>
              <w:t>Licensing Activity</w:t>
            </w:r>
          </w:p>
        </w:tc>
        <w:tc>
          <w:tcPr>
            <w:tcW w:w="2977" w:type="dxa"/>
            <w:gridSpan w:val="2"/>
            <w:vAlign w:val="center"/>
          </w:tcPr>
          <w:p w:rsidR="0047741D" w:rsidRPr="005368C1" w:rsidRDefault="005368C1" w:rsidP="00604A18">
            <w:r>
              <w:t xml:space="preserve">Head of Licensing </w:t>
            </w:r>
          </w:p>
        </w:tc>
      </w:tr>
    </w:tbl>
    <w:p w:rsidR="002F5C5E" w:rsidRPr="009E2B84" w:rsidRDefault="002F5C5E" w:rsidP="002F5C5E"/>
    <w:p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:rsidTr="00E2196F">
        <w:tc>
          <w:tcPr>
            <w:tcW w:w="6652" w:type="dxa"/>
            <w:shd w:val="clear" w:color="auto" w:fill="auto"/>
          </w:tcPr>
          <w:p w:rsidR="0047741D" w:rsidRDefault="0047741D" w:rsidP="00E2196F">
            <w:pPr>
              <w:rPr>
                <w:szCs w:val="22"/>
              </w:rPr>
            </w:pPr>
          </w:p>
          <w:p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:rsidR="0047741D" w:rsidRDefault="0047741D" w:rsidP="00E2196F">
            <w:pPr>
              <w:rPr>
                <w:b/>
                <w:szCs w:val="22"/>
              </w:rPr>
            </w:pPr>
          </w:p>
          <w:p w:rsidR="00BD4E66" w:rsidRPr="00F3057A" w:rsidRDefault="00E7266E" w:rsidP="00E219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:rsidR="0047741D" w:rsidRPr="009C1143" w:rsidRDefault="0047741D" w:rsidP="001B1D4F">
            <w:pPr>
              <w:rPr>
                <w:szCs w:val="22"/>
              </w:rPr>
            </w:pPr>
          </w:p>
        </w:tc>
      </w:tr>
    </w:tbl>
    <w:p w:rsidR="0047741D" w:rsidRDefault="0047741D" w:rsidP="002F5C5E">
      <w:pPr>
        <w:rPr>
          <w:sz w:val="16"/>
          <w:szCs w:val="16"/>
        </w:rPr>
      </w:pPr>
    </w:p>
    <w:p w:rsidR="00EB2D32" w:rsidRPr="009C1143" w:rsidRDefault="00EB2D32" w:rsidP="002F5C5E">
      <w:pPr>
        <w:rPr>
          <w:sz w:val="16"/>
          <w:szCs w:val="16"/>
        </w:rPr>
      </w:pPr>
    </w:p>
    <w:p w:rsidR="002F5C5E" w:rsidRPr="00F4022F" w:rsidRDefault="002F5C5E" w:rsidP="00EC41B4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:rsidR="000B5251" w:rsidRPr="00F4022F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:rsidR="002F5C5E" w:rsidRPr="00F4022F" w:rsidRDefault="00EC41B4" w:rsidP="00EC41B4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185E4F">
        <w:rPr>
          <w:rFonts w:cs="Arial"/>
          <w:szCs w:val="22"/>
        </w:rPr>
        <w:t xml:space="preserve">his report </w:t>
      </w:r>
      <w:r w:rsidR="002E3A51">
        <w:rPr>
          <w:rFonts w:cs="Arial"/>
          <w:szCs w:val="22"/>
        </w:rPr>
        <w:t>provides information to members</w:t>
      </w:r>
      <w:r w:rsidR="00185E4F">
        <w:rPr>
          <w:rFonts w:cs="Arial"/>
          <w:szCs w:val="22"/>
        </w:rPr>
        <w:t xml:space="preserve"> on </w:t>
      </w:r>
      <w:r w:rsidR="00BD4E66">
        <w:rPr>
          <w:rFonts w:cs="Arial"/>
          <w:szCs w:val="22"/>
        </w:rPr>
        <w:t>Licensing Activity, including applications received, enforcement checks and referrals to partner agencies</w:t>
      </w:r>
    </w:p>
    <w:p w:rsidR="000B5251" w:rsidRPr="00EC41B4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:rsidR="002F5C5E" w:rsidRPr="00EC41B4" w:rsidRDefault="002F5C5E" w:rsidP="00EC41B4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EC41B4">
        <w:rPr>
          <w:rFonts w:ascii="Arial" w:hAnsi="Arial" w:cs="Arial"/>
          <w:b/>
        </w:rPr>
        <w:t>CORPORATE PRIORITIES</w:t>
      </w:r>
    </w:p>
    <w:p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p w:rsidR="00772B9C" w:rsidRPr="00F4022F" w:rsidRDefault="00772B9C" w:rsidP="00EC41B4">
      <w:pPr>
        <w:keepNext/>
        <w:ind w:left="360" w:firstLine="360"/>
        <w:outlineLvl w:val="0"/>
        <w:rPr>
          <w:rFonts w:cs="Arial"/>
          <w:i/>
          <w:color w:val="2E74B5"/>
          <w:szCs w:val="22"/>
        </w:rPr>
      </w:pPr>
      <w:r w:rsidRPr="00F4022F">
        <w:rPr>
          <w:rFonts w:cs="Arial"/>
          <w:szCs w:val="22"/>
        </w:rPr>
        <w:t>The report relates to the following corporate priorities:</w:t>
      </w:r>
    </w:p>
    <w:p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F4022F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Excellence and Financial Sustainability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1D28E4" w:rsidP="00F4022F">
            <w:pPr>
              <w:rPr>
                <w:rFonts w:cs="Arial"/>
                <w:szCs w:val="22"/>
                <w:highlight w:val="yellow"/>
              </w:rPr>
            </w:pPr>
            <w:r w:rsidRPr="00F4022F">
              <w:rPr>
                <w:rFonts w:cs="Arial"/>
                <w:szCs w:val="22"/>
              </w:rPr>
              <w:t>x</w:t>
            </w:r>
          </w:p>
        </w:tc>
      </w:tr>
      <w:tr w:rsidR="00772B9C" w:rsidRPr="00F4022F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Health and Wellbeing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674679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Place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</w:tr>
    </w:tbl>
    <w:p w:rsidR="00772B9C" w:rsidRPr="00F4022F" w:rsidRDefault="00772B9C" w:rsidP="00F4022F">
      <w:pPr>
        <w:rPr>
          <w:rFonts w:cs="Arial"/>
          <w:szCs w:val="22"/>
        </w:rPr>
      </w:pPr>
    </w:p>
    <w:p w:rsidR="00674679" w:rsidRDefault="00674679" w:rsidP="00674679">
      <w:pPr>
        <w:ind w:firstLine="720"/>
      </w:pPr>
      <w:r>
        <w:t>Projects relating to People in the Corporate Plan:</w:t>
      </w:r>
    </w:p>
    <w:p w:rsidR="00674679" w:rsidRDefault="00674679" w:rsidP="00674679">
      <w:pPr>
        <w:ind w:firstLine="720"/>
      </w:pPr>
    </w:p>
    <w:tbl>
      <w:tblPr>
        <w:tblW w:w="527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850"/>
      </w:tblGrid>
      <w:tr w:rsidR="00674679" w:rsidTr="00146ED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679" w:rsidRDefault="00674679" w:rsidP="00146EDD">
            <w:pPr>
              <w:rPr>
                <w:szCs w:val="22"/>
              </w:rPr>
            </w:pPr>
            <w:r>
              <w:rPr>
                <w:szCs w:val="22"/>
              </w:rPr>
              <w:t xml:space="preserve">People </w:t>
            </w:r>
          </w:p>
          <w:p w:rsidR="00674679" w:rsidRDefault="00674679" w:rsidP="00146EDD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679" w:rsidRDefault="00674679" w:rsidP="00146EDD">
            <w:pPr>
              <w:rPr>
                <w:szCs w:val="22"/>
              </w:rPr>
            </w:pPr>
          </w:p>
        </w:tc>
      </w:tr>
    </w:tbl>
    <w:p w:rsidR="002F5C5E" w:rsidRPr="00F4022F" w:rsidRDefault="002F5C5E" w:rsidP="00F4022F">
      <w:pPr>
        <w:rPr>
          <w:rFonts w:cs="Arial"/>
          <w:szCs w:val="22"/>
        </w:rPr>
      </w:pPr>
    </w:p>
    <w:p w:rsidR="00674679" w:rsidRDefault="00674679" w:rsidP="00F4022F">
      <w:pPr>
        <w:rPr>
          <w:rFonts w:cs="Arial"/>
          <w:b/>
          <w:szCs w:val="22"/>
        </w:rPr>
      </w:pPr>
    </w:p>
    <w:p w:rsidR="000B621E" w:rsidRPr="00EC41B4" w:rsidRDefault="000B621E" w:rsidP="00EC41B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C41B4">
        <w:rPr>
          <w:rFonts w:ascii="Arial" w:hAnsi="Arial" w:cs="Arial"/>
          <w:b/>
        </w:rPr>
        <w:t>RECOMMENDATIONS</w:t>
      </w:r>
    </w:p>
    <w:p w:rsidR="00924EA8" w:rsidRPr="00F4022F" w:rsidRDefault="00924EA8" w:rsidP="00F4022F">
      <w:pPr>
        <w:rPr>
          <w:rFonts w:cs="Arial"/>
          <w:b/>
          <w:szCs w:val="22"/>
        </w:rPr>
      </w:pPr>
    </w:p>
    <w:p w:rsidR="006D748F" w:rsidRPr="00F75C9D" w:rsidRDefault="00F75C9D" w:rsidP="00EC41B4">
      <w:pPr>
        <w:ind w:left="709" w:hanging="720"/>
        <w:rPr>
          <w:rFonts w:cs="Arial"/>
          <w:szCs w:val="22"/>
        </w:rPr>
      </w:pPr>
      <w:r w:rsidRPr="00F75C9D">
        <w:rPr>
          <w:rFonts w:cs="Arial"/>
          <w:szCs w:val="22"/>
        </w:rPr>
        <w:t xml:space="preserve">3.1 </w:t>
      </w:r>
      <w:r w:rsidR="00924EA8">
        <w:rPr>
          <w:rFonts w:cs="Arial"/>
          <w:szCs w:val="22"/>
        </w:rPr>
        <w:tab/>
      </w:r>
      <w:r w:rsidRPr="00F75C9D">
        <w:rPr>
          <w:rFonts w:cs="Arial"/>
          <w:szCs w:val="22"/>
        </w:rPr>
        <w:t xml:space="preserve">That Members note the progress made </w:t>
      </w:r>
      <w:r w:rsidR="00BD4E66">
        <w:rPr>
          <w:rFonts w:cs="Arial"/>
          <w:szCs w:val="22"/>
        </w:rPr>
        <w:t>by the Licensing Service for the month of</w:t>
      </w:r>
      <w:r w:rsidR="000106CE">
        <w:rPr>
          <w:rFonts w:cs="Arial"/>
          <w:szCs w:val="22"/>
        </w:rPr>
        <w:t xml:space="preserve"> </w:t>
      </w:r>
      <w:r w:rsidR="00C378EB">
        <w:rPr>
          <w:rFonts w:cs="Arial"/>
          <w:szCs w:val="22"/>
        </w:rPr>
        <w:t>September and October 2018</w:t>
      </w:r>
    </w:p>
    <w:p w:rsidR="00F75C9D" w:rsidRDefault="00F75C9D" w:rsidP="00F4022F">
      <w:pPr>
        <w:rPr>
          <w:rFonts w:cs="Arial"/>
          <w:b/>
          <w:szCs w:val="22"/>
        </w:rPr>
      </w:pPr>
    </w:p>
    <w:p w:rsidR="001830DA" w:rsidRPr="00F4022F" w:rsidRDefault="001830DA" w:rsidP="00F4022F">
      <w:pPr>
        <w:rPr>
          <w:rFonts w:cs="Arial"/>
          <w:b/>
          <w:szCs w:val="22"/>
        </w:rPr>
      </w:pPr>
    </w:p>
    <w:p w:rsidR="002F5C5E" w:rsidRPr="00F4022F" w:rsidRDefault="00262CC8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4</w:t>
      </w:r>
      <w:r w:rsidR="00EC41B4">
        <w:rPr>
          <w:rFonts w:cs="Arial"/>
          <w:b/>
          <w:szCs w:val="22"/>
        </w:rPr>
        <w:t xml:space="preserve">.   </w:t>
      </w:r>
      <w:r w:rsidR="002F5C5E" w:rsidRPr="00F4022F">
        <w:rPr>
          <w:rFonts w:cs="Arial"/>
          <w:b/>
          <w:szCs w:val="22"/>
        </w:rPr>
        <w:t>BACKGROUND TO THE REPORT</w:t>
      </w:r>
    </w:p>
    <w:p w:rsidR="00CB34AF" w:rsidRPr="00F4022F" w:rsidRDefault="00CB34AF" w:rsidP="00F4022F">
      <w:pPr>
        <w:rPr>
          <w:rFonts w:cs="Arial"/>
          <w:b/>
          <w:szCs w:val="22"/>
        </w:rPr>
      </w:pPr>
    </w:p>
    <w:p w:rsidR="00A33B5B" w:rsidRPr="00F4022F" w:rsidRDefault="00A33B5B" w:rsidP="00F4022F">
      <w:pPr>
        <w:shd w:val="clear" w:color="auto" w:fill="FFFFFF"/>
        <w:outlineLvl w:val="3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b/>
          <w:bCs/>
          <w:vanish/>
          <w:color w:val="FFFFFF"/>
          <w:szCs w:val="22"/>
          <w:shd w:val="clear" w:color="auto" w:fill="660066"/>
          <w:lang w:val="en"/>
        </w:rPr>
        <w:t>E+W</w:t>
      </w:r>
    </w:p>
    <w:p w:rsidR="00185E4F" w:rsidRDefault="006D748F" w:rsidP="00EC41B4">
      <w:pPr>
        <w:pStyle w:val="ListBullet"/>
        <w:numPr>
          <w:ilvl w:val="0"/>
          <w:numId w:val="0"/>
        </w:numPr>
        <w:ind w:left="720" w:hanging="720"/>
        <w:rPr>
          <w:lang w:val="en"/>
        </w:rPr>
      </w:pPr>
      <w:r w:rsidRPr="00F4022F">
        <w:rPr>
          <w:lang w:val="en"/>
        </w:rPr>
        <w:t xml:space="preserve">4.1 </w:t>
      </w:r>
      <w:r w:rsidR="00924EA8">
        <w:rPr>
          <w:lang w:val="en"/>
        </w:rPr>
        <w:tab/>
      </w:r>
      <w:r w:rsidR="00BD4E66">
        <w:rPr>
          <w:lang w:val="en"/>
        </w:rPr>
        <w:t>Monthly updates on service delivery have been a regular item on the General Licensing Committee Agenda and include in table format the activity carried out by the Licensing Service</w:t>
      </w:r>
    </w:p>
    <w:p w:rsidR="00C33FA8" w:rsidRPr="00F4022F" w:rsidRDefault="00C33FA8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</w:p>
    <w:p w:rsidR="00C33FA8" w:rsidRDefault="00C33FA8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</w:p>
    <w:p w:rsidR="00C378EB" w:rsidRDefault="006D748F" w:rsidP="00EC41B4">
      <w:pPr>
        <w:shd w:val="clear" w:color="auto" w:fill="FFFFFF"/>
        <w:spacing w:after="120"/>
        <w:ind w:left="709" w:hanging="709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color w:val="000000"/>
          <w:szCs w:val="22"/>
          <w:lang w:val="en"/>
        </w:rPr>
        <w:lastRenderedPageBreak/>
        <w:t xml:space="preserve">4.3 </w:t>
      </w:r>
      <w:r w:rsidR="00EC41B4">
        <w:rPr>
          <w:rFonts w:cs="Arial"/>
          <w:color w:val="000000"/>
          <w:szCs w:val="22"/>
          <w:lang w:val="en"/>
        </w:rPr>
        <w:tab/>
      </w:r>
      <w:r w:rsidR="00185E4F">
        <w:rPr>
          <w:rFonts w:cs="Arial"/>
          <w:color w:val="000000"/>
          <w:szCs w:val="22"/>
          <w:lang w:val="en"/>
        </w:rPr>
        <w:t xml:space="preserve">Areas of </w:t>
      </w:r>
      <w:r w:rsidR="00242744">
        <w:rPr>
          <w:rFonts w:cs="Arial"/>
          <w:color w:val="000000"/>
          <w:szCs w:val="22"/>
          <w:lang w:val="en"/>
        </w:rPr>
        <w:t>particular note</w:t>
      </w:r>
      <w:r w:rsidR="00185E4F">
        <w:rPr>
          <w:rFonts w:cs="Arial"/>
          <w:color w:val="000000"/>
          <w:szCs w:val="22"/>
          <w:lang w:val="en"/>
        </w:rPr>
        <w:t xml:space="preserve"> </w:t>
      </w:r>
      <w:r w:rsidR="004156D2">
        <w:rPr>
          <w:rFonts w:cs="Arial"/>
          <w:color w:val="000000"/>
          <w:szCs w:val="22"/>
          <w:lang w:val="en"/>
        </w:rPr>
        <w:t xml:space="preserve">for this period </w:t>
      </w:r>
      <w:r w:rsidR="00A746E3">
        <w:rPr>
          <w:rFonts w:cs="Arial"/>
          <w:color w:val="000000"/>
          <w:szCs w:val="22"/>
          <w:lang w:val="en"/>
        </w:rPr>
        <w:t>are the</w:t>
      </w:r>
      <w:r w:rsidR="00C378EB">
        <w:rPr>
          <w:rFonts w:cs="Arial"/>
          <w:color w:val="000000"/>
          <w:szCs w:val="22"/>
          <w:lang w:val="en"/>
        </w:rPr>
        <w:t xml:space="preserve"> submission of 2 Licensing Reviews</w:t>
      </w:r>
      <w:r w:rsidR="00662C02">
        <w:rPr>
          <w:rFonts w:cs="Arial"/>
          <w:color w:val="000000"/>
          <w:szCs w:val="22"/>
          <w:lang w:val="en"/>
        </w:rPr>
        <w:t>, to</w:t>
      </w:r>
      <w:r w:rsidR="00C378EB">
        <w:rPr>
          <w:rFonts w:cs="Arial"/>
          <w:color w:val="000000"/>
          <w:szCs w:val="22"/>
          <w:lang w:val="en"/>
        </w:rPr>
        <w:t xml:space="preserve"> be determined for Moss Lane Convenience and </w:t>
      </w:r>
      <w:proofErr w:type="spellStart"/>
      <w:r w:rsidR="00C378EB">
        <w:rPr>
          <w:rFonts w:cs="Arial"/>
          <w:color w:val="000000"/>
          <w:szCs w:val="22"/>
          <w:lang w:val="en"/>
        </w:rPr>
        <w:t>Sangham</w:t>
      </w:r>
      <w:proofErr w:type="spellEnd"/>
      <w:r w:rsidR="00C378EB">
        <w:rPr>
          <w:rFonts w:cs="Arial"/>
          <w:color w:val="000000"/>
          <w:szCs w:val="22"/>
          <w:lang w:val="en"/>
        </w:rPr>
        <w:t xml:space="preserve"> Balti</w:t>
      </w:r>
      <w:r w:rsidR="002A171F">
        <w:rPr>
          <w:rFonts w:cs="Arial"/>
          <w:color w:val="000000"/>
          <w:szCs w:val="22"/>
          <w:lang w:val="en"/>
        </w:rPr>
        <w:t xml:space="preserve"> </w:t>
      </w:r>
      <w:r w:rsidR="00B93AA2">
        <w:rPr>
          <w:rFonts w:cs="Arial"/>
          <w:color w:val="000000"/>
          <w:szCs w:val="22"/>
          <w:lang w:val="en"/>
        </w:rPr>
        <w:t>in the next couple of weeks.</w:t>
      </w:r>
    </w:p>
    <w:p w:rsidR="00A746E3" w:rsidRDefault="00C378EB" w:rsidP="00C378EB">
      <w:pPr>
        <w:shd w:val="clear" w:color="auto" w:fill="FFFFFF"/>
        <w:spacing w:after="120"/>
        <w:ind w:left="709"/>
        <w:rPr>
          <w:rFonts w:cs="Arial"/>
          <w:color w:val="000000"/>
          <w:szCs w:val="22"/>
          <w:lang w:val="en"/>
        </w:rPr>
      </w:pPr>
      <w:r>
        <w:rPr>
          <w:rFonts w:cs="Arial"/>
          <w:color w:val="000000"/>
          <w:szCs w:val="22"/>
          <w:lang w:val="en"/>
        </w:rPr>
        <w:t xml:space="preserve"> Underage test purchasing relating to Gaming Machines, 7 premises tested, 7 failures, SRBC were the first Authority in Lancashire to conduct this type of testing which has led the Gambling Commission to work with other Lancashire Authorities </w:t>
      </w:r>
      <w:r w:rsidR="00A746E3">
        <w:rPr>
          <w:rFonts w:cs="Arial"/>
          <w:color w:val="000000"/>
          <w:szCs w:val="22"/>
          <w:lang w:val="en"/>
        </w:rPr>
        <w:t>where similar results have also</w:t>
      </w:r>
      <w:r>
        <w:rPr>
          <w:rFonts w:cs="Arial"/>
          <w:color w:val="000000"/>
          <w:szCs w:val="22"/>
          <w:lang w:val="en"/>
        </w:rPr>
        <w:t xml:space="preserve"> played out.</w:t>
      </w:r>
      <w:r w:rsidR="00A746E3">
        <w:rPr>
          <w:rFonts w:cs="Arial"/>
          <w:color w:val="000000"/>
          <w:szCs w:val="22"/>
          <w:lang w:val="en"/>
        </w:rPr>
        <w:t xml:space="preserve"> A full write up of the Commissions work with Local Authorities relating to the recent test purchasing will be in the </w:t>
      </w:r>
      <w:r w:rsidR="00B93AA2">
        <w:rPr>
          <w:rFonts w:cs="Arial"/>
          <w:color w:val="000000"/>
          <w:szCs w:val="22"/>
          <w:lang w:val="en"/>
        </w:rPr>
        <w:t>January</w:t>
      </w:r>
      <w:r w:rsidR="00A746E3">
        <w:rPr>
          <w:rFonts w:cs="Arial"/>
          <w:color w:val="000000"/>
          <w:szCs w:val="22"/>
          <w:lang w:val="en"/>
        </w:rPr>
        <w:t xml:space="preserve"> bulletin. </w:t>
      </w:r>
    </w:p>
    <w:p w:rsidR="00A746E3" w:rsidRDefault="00A746E3" w:rsidP="00C378EB">
      <w:pPr>
        <w:shd w:val="clear" w:color="auto" w:fill="FFFFFF"/>
        <w:spacing w:after="120"/>
        <w:ind w:left="709"/>
        <w:rPr>
          <w:rFonts w:cs="Arial"/>
          <w:color w:val="000000"/>
          <w:szCs w:val="22"/>
          <w:lang w:val="en"/>
        </w:rPr>
      </w:pPr>
      <w:r>
        <w:rPr>
          <w:rFonts w:cs="Arial"/>
          <w:color w:val="000000"/>
          <w:szCs w:val="22"/>
          <w:lang w:val="en"/>
        </w:rPr>
        <w:t xml:space="preserve">Launch of the Award for Personal </w:t>
      </w:r>
      <w:proofErr w:type="spellStart"/>
      <w:r>
        <w:rPr>
          <w:rFonts w:cs="Arial"/>
          <w:color w:val="000000"/>
          <w:szCs w:val="22"/>
          <w:lang w:val="en"/>
        </w:rPr>
        <w:t>Licence</w:t>
      </w:r>
      <w:proofErr w:type="spellEnd"/>
      <w:r>
        <w:rPr>
          <w:rFonts w:cs="Arial"/>
          <w:color w:val="000000"/>
          <w:szCs w:val="22"/>
          <w:lang w:val="en"/>
        </w:rPr>
        <w:t xml:space="preserve"> holder’s course, initially uptake is slow but we are now offering the course on a monthly basis. The course is advertised through social media and with partner agencies.</w:t>
      </w:r>
    </w:p>
    <w:p w:rsidR="00A746E3" w:rsidRDefault="00A746E3" w:rsidP="00C378EB">
      <w:pPr>
        <w:shd w:val="clear" w:color="auto" w:fill="FFFFFF"/>
        <w:spacing w:after="120"/>
        <w:ind w:left="709"/>
        <w:rPr>
          <w:rFonts w:cs="Arial"/>
          <w:color w:val="000000"/>
          <w:szCs w:val="22"/>
          <w:lang w:val="en"/>
        </w:rPr>
      </w:pPr>
      <w:proofErr w:type="spellStart"/>
      <w:r>
        <w:rPr>
          <w:rFonts w:cs="Arial"/>
          <w:color w:val="000000"/>
          <w:szCs w:val="22"/>
          <w:lang w:val="en"/>
        </w:rPr>
        <w:t>Pubwatch</w:t>
      </w:r>
      <w:proofErr w:type="spellEnd"/>
      <w:r>
        <w:rPr>
          <w:rFonts w:cs="Arial"/>
          <w:color w:val="000000"/>
          <w:szCs w:val="22"/>
          <w:lang w:val="en"/>
        </w:rPr>
        <w:t xml:space="preserve"> planning meeting was </w:t>
      </w:r>
      <w:proofErr w:type="spellStart"/>
      <w:r w:rsidR="00B93AA2">
        <w:rPr>
          <w:rFonts w:cs="Arial"/>
          <w:color w:val="000000"/>
          <w:szCs w:val="22"/>
          <w:lang w:val="en"/>
        </w:rPr>
        <w:t>organi</w:t>
      </w:r>
      <w:r w:rsidR="00662C02">
        <w:rPr>
          <w:rFonts w:cs="Arial"/>
          <w:color w:val="000000"/>
          <w:szCs w:val="22"/>
          <w:lang w:val="en"/>
        </w:rPr>
        <w:t>sed</w:t>
      </w:r>
      <w:proofErr w:type="spellEnd"/>
      <w:r>
        <w:rPr>
          <w:rFonts w:cs="Arial"/>
          <w:color w:val="000000"/>
          <w:szCs w:val="22"/>
          <w:lang w:val="en"/>
        </w:rPr>
        <w:t xml:space="preserve"> with National </w:t>
      </w:r>
      <w:proofErr w:type="spellStart"/>
      <w:r>
        <w:rPr>
          <w:rFonts w:cs="Arial"/>
          <w:color w:val="000000"/>
          <w:szCs w:val="22"/>
          <w:lang w:val="en"/>
        </w:rPr>
        <w:t>Pu</w:t>
      </w:r>
      <w:r w:rsidR="002A171F">
        <w:rPr>
          <w:rFonts w:cs="Arial"/>
          <w:color w:val="000000"/>
          <w:szCs w:val="22"/>
          <w:lang w:val="en"/>
        </w:rPr>
        <w:t>b</w:t>
      </w:r>
      <w:r>
        <w:rPr>
          <w:rFonts w:cs="Arial"/>
          <w:color w:val="000000"/>
          <w:szCs w:val="22"/>
          <w:lang w:val="en"/>
        </w:rPr>
        <w:t>watch</w:t>
      </w:r>
      <w:proofErr w:type="spellEnd"/>
      <w:r>
        <w:rPr>
          <w:rFonts w:cs="Arial"/>
          <w:color w:val="000000"/>
          <w:szCs w:val="22"/>
          <w:lang w:val="en"/>
        </w:rPr>
        <w:t xml:space="preserve"> representatives in attendance to provide guidance and support in setting up a Borough wide </w:t>
      </w:r>
      <w:proofErr w:type="spellStart"/>
      <w:r w:rsidR="002A171F">
        <w:rPr>
          <w:rFonts w:cs="Arial"/>
          <w:color w:val="000000"/>
          <w:szCs w:val="22"/>
          <w:lang w:val="en"/>
        </w:rPr>
        <w:t>Pubwatch</w:t>
      </w:r>
      <w:proofErr w:type="spellEnd"/>
      <w:r>
        <w:rPr>
          <w:rFonts w:cs="Arial"/>
          <w:color w:val="000000"/>
          <w:szCs w:val="22"/>
          <w:lang w:val="en"/>
        </w:rPr>
        <w:t>. The meeting was well attended and well received, over 30 attendees expressed a commitment to moving the idea forward. A follow up planning meeting is scheduled for the 15</w:t>
      </w:r>
      <w:r w:rsidRPr="00A746E3">
        <w:rPr>
          <w:rFonts w:cs="Arial"/>
          <w:color w:val="000000"/>
          <w:szCs w:val="22"/>
          <w:vertAlign w:val="superscript"/>
          <w:lang w:val="en"/>
        </w:rPr>
        <w:t>th</w:t>
      </w:r>
      <w:r>
        <w:rPr>
          <w:rFonts w:cs="Arial"/>
          <w:color w:val="000000"/>
          <w:szCs w:val="22"/>
          <w:lang w:val="en"/>
        </w:rPr>
        <w:t xml:space="preserve"> November to elect and Chair and vice Chair.</w:t>
      </w:r>
    </w:p>
    <w:p w:rsidR="00AF1F82" w:rsidRDefault="00AF1F82" w:rsidP="00C378EB">
      <w:pPr>
        <w:shd w:val="clear" w:color="auto" w:fill="FFFFFF"/>
        <w:spacing w:after="120"/>
        <w:ind w:left="709"/>
        <w:rPr>
          <w:rFonts w:cs="Arial"/>
          <w:color w:val="000000"/>
          <w:szCs w:val="22"/>
          <w:lang w:val="en"/>
        </w:rPr>
      </w:pPr>
      <w:r>
        <w:rPr>
          <w:rFonts w:cs="Arial"/>
          <w:color w:val="000000"/>
          <w:szCs w:val="22"/>
          <w:lang w:val="en"/>
        </w:rPr>
        <w:t>Alcohol test purchasing was conducted with the police on the 25</w:t>
      </w:r>
      <w:r w:rsidRPr="00AF1F82">
        <w:rPr>
          <w:rFonts w:cs="Arial"/>
          <w:color w:val="000000"/>
          <w:szCs w:val="22"/>
          <w:vertAlign w:val="superscript"/>
          <w:lang w:val="en"/>
        </w:rPr>
        <w:t>th</w:t>
      </w:r>
      <w:r>
        <w:rPr>
          <w:rFonts w:cs="Arial"/>
          <w:color w:val="000000"/>
          <w:szCs w:val="22"/>
          <w:lang w:val="en"/>
        </w:rPr>
        <w:t xml:space="preserve"> October, the volunteer was on the younger end of the spectrum for the activity (14years old). 111 premises were tested and only 1 failed. Due to the age of the volunteer and the fact that almost every other premises passed this really highlighted bad practice at the relevant premises. </w:t>
      </w:r>
      <w:r w:rsidR="00B93AA2">
        <w:rPr>
          <w:rFonts w:cs="Arial"/>
          <w:color w:val="000000"/>
          <w:szCs w:val="22"/>
          <w:lang w:val="en"/>
        </w:rPr>
        <w:t>An investigation is ongoing, therefore no further details can be provided at this stage.</w:t>
      </w:r>
    </w:p>
    <w:p w:rsidR="00A746E3" w:rsidRDefault="00A746E3" w:rsidP="00C378EB">
      <w:pPr>
        <w:shd w:val="clear" w:color="auto" w:fill="FFFFFF"/>
        <w:spacing w:after="120"/>
        <w:ind w:left="709"/>
        <w:rPr>
          <w:rFonts w:cs="Arial"/>
          <w:color w:val="000000"/>
          <w:szCs w:val="22"/>
          <w:lang w:val="en"/>
        </w:rPr>
      </w:pPr>
    </w:p>
    <w:p w:rsidR="009674A1" w:rsidRPr="00F4022F" w:rsidRDefault="006D748F" w:rsidP="001830DA">
      <w:pPr>
        <w:shd w:val="clear" w:color="auto" w:fill="FFFFFF"/>
        <w:spacing w:after="120"/>
        <w:ind w:left="709" w:hanging="709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5</w:t>
      </w:r>
      <w:r w:rsidR="00EC41B4">
        <w:rPr>
          <w:rFonts w:cs="Arial"/>
          <w:b/>
          <w:szCs w:val="22"/>
        </w:rPr>
        <w:t xml:space="preserve">. </w:t>
      </w:r>
      <w:r w:rsidR="001938D6" w:rsidRPr="00F4022F">
        <w:rPr>
          <w:rFonts w:cs="Arial"/>
          <w:b/>
          <w:szCs w:val="22"/>
        </w:rPr>
        <w:t xml:space="preserve">CONSULTATION CARRIED OUT AND OUTCOME OF CONSULTATION </w:t>
      </w:r>
    </w:p>
    <w:p w:rsidR="00924EA8" w:rsidRPr="001830DA" w:rsidRDefault="009674A1" w:rsidP="001830DA">
      <w:pPr>
        <w:ind w:firstLine="709"/>
        <w:rPr>
          <w:rFonts w:cs="Arial"/>
          <w:szCs w:val="22"/>
        </w:rPr>
      </w:pPr>
      <w:r w:rsidRPr="001830DA">
        <w:rPr>
          <w:rFonts w:cs="Arial"/>
          <w:szCs w:val="22"/>
        </w:rPr>
        <w:t>N/A</w:t>
      </w:r>
    </w:p>
    <w:p w:rsidR="00924EA8" w:rsidRPr="00F4022F" w:rsidRDefault="00924EA8" w:rsidP="00F4022F">
      <w:pPr>
        <w:rPr>
          <w:rFonts w:cs="Arial"/>
          <w:b/>
          <w:szCs w:val="22"/>
        </w:rPr>
      </w:pPr>
    </w:p>
    <w:p w:rsidR="00F43895" w:rsidRPr="00F4022F" w:rsidRDefault="006D748F" w:rsidP="00EC41B4">
      <w:pPr>
        <w:ind w:left="-426" w:firstLine="426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6</w:t>
      </w:r>
      <w:r w:rsidR="00EC41B4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caps/>
          <w:szCs w:val="22"/>
        </w:rPr>
        <w:t>Financial implications</w:t>
      </w:r>
    </w:p>
    <w:p w:rsidR="00F43895" w:rsidRPr="00F4022F" w:rsidRDefault="00F43895" w:rsidP="00F4022F">
      <w:pPr>
        <w:ind w:left="567"/>
        <w:rPr>
          <w:rFonts w:cs="Arial"/>
          <w:b/>
          <w:caps/>
          <w:szCs w:val="22"/>
        </w:rPr>
      </w:pPr>
    </w:p>
    <w:p w:rsidR="00F43895" w:rsidRDefault="002E3A51" w:rsidP="00EC41B4">
      <w:pPr>
        <w:ind w:left="-709" w:firstLine="709"/>
        <w:rPr>
          <w:rFonts w:cs="Arial"/>
          <w:b/>
          <w:szCs w:val="22"/>
        </w:rPr>
      </w:pPr>
      <w:r w:rsidRPr="00604A18">
        <w:rPr>
          <w:rFonts w:cs="Arial"/>
        </w:rPr>
        <w:t>6.1</w:t>
      </w:r>
      <w:r w:rsidR="00837748" w:rsidRPr="00604A18">
        <w:rPr>
          <w:rFonts w:cs="Arial"/>
        </w:rPr>
        <w:t xml:space="preserve"> </w:t>
      </w:r>
      <w:r w:rsidR="00924EA8">
        <w:rPr>
          <w:rFonts w:cs="Arial"/>
        </w:rPr>
        <w:tab/>
      </w:r>
      <w:r w:rsidR="00837748" w:rsidRPr="00604A18">
        <w:rPr>
          <w:rFonts w:cs="Arial"/>
        </w:rPr>
        <w:t>T</w:t>
      </w:r>
      <w:r w:rsidR="00837748" w:rsidRPr="00837748">
        <w:rPr>
          <w:rFonts w:cs="Arial"/>
          <w:szCs w:val="22"/>
        </w:rPr>
        <w:t xml:space="preserve">here </w:t>
      </w:r>
      <w:r w:rsidR="00837748" w:rsidRPr="002E3A51">
        <w:rPr>
          <w:rFonts w:cs="Arial"/>
          <w:szCs w:val="22"/>
        </w:rPr>
        <w:t xml:space="preserve">are no direct </w:t>
      </w:r>
      <w:r w:rsidR="00837748">
        <w:rPr>
          <w:rFonts w:cs="Arial"/>
          <w:szCs w:val="22"/>
        </w:rPr>
        <w:t>financial imp</w:t>
      </w:r>
      <w:r w:rsidR="00837748" w:rsidRPr="002E3A51">
        <w:rPr>
          <w:rFonts w:cs="Arial"/>
          <w:szCs w:val="22"/>
        </w:rPr>
        <w:t>lications arising from this report</w:t>
      </w:r>
      <w:r w:rsidR="00837748">
        <w:rPr>
          <w:rFonts w:cs="Arial"/>
          <w:szCs w:val="22"/>
        </w:rPr>
        <w:t>.</w:t>
      </w:r>
      <w:r w:rsidR="00837748" w:rsidRPr="002E3A51">
        <w:rPr>
          <w:rFonts w:cs="Arial"/>
          <w:color w:val="FF0000"/>
        </w:rPr>
        <w:t xml:space="preserve"> </w:t>
      </w:r>
      <w:r w:rsidR="00837748">
        <w:rPr>
          <w:rFonts w:cs="Arial"/>
          <w:color w:val="FF0000"/>
        </w:rPr>
        <w:t xml:space="preserve"> </w:t>
      </w:r>
    </w:p>
    <w:p w:rsidR="00837748" w:rsidRPr="00F4022F" w:rsidRDefault="00837748" w:rsidP="00F4022F">
      <w:pPr>
        <w:rPr>
          <w:rFonts w:cs="Arial"/>
          <w:b/>
          <w:szCs w:val="22"/>
        </w:rPr>
      </w:pPr>
    </w:p>
    <w:p w:rsidR="00924EA8" w:rsidRDefault="006D748F" w:rsidP="00EC41B4">
      <w:pPr>
        <w:ind w:left="-709" w:firstLine="709"/>
        <w:rPr>
          <w:rFonts w:cs="Arial"/>
          <w:caps/>
          <w:szCs w:val="22"/>
        </w:rPr>
      </w:pPr>
      <w:r w:rsidRPr="00F4022F">
        <w:rPr>
          <w:rFonts w:cs="Arial"/>
          <w:b/>
          <w:caps/>
          <w:szCs w:val="22"/>
        </w:rPr>
        <w:t>7</w:t>
      </w:r>
      <w:r w:rsidR="00EC41B4">
        <w:rPr>
          <w:rFonts w:cs="Arial"/>
          <w:b/>
          <w:caps/>
          <w:szCs w:val="22"/>
        </w:rPr>
        <w:t xml:space="preserve">.  </w:t>
      </w:r>
      <w:r w:rsidR="00F43895" w:rsidRPr="00F4022F">
        <w:rPr>
          <w:rFonts w:cs="Arial"/>
          <w:b/>
          <w:caps/>
          <w:szCs w:val="22"/>
        </w:rPr>
        <w:t>LEGAL IMPLICATIONS</w:t>
      </w:r>
    </w:p>
    <w:p w:rsidR="00924EA8" w:rsidRPr="00F4022F" w:rsidRDefault="00924EA8" w:rsidP="00EC41B4">
      <w:pPr>
        <w:rPr>
          <w:rFonts w:cs="Arial"/>
          <w:caps/>
          <w:szCs w:val="22"/>
        </w:rPr>
      </w:pPr>
    </w:p>
    <w:p w:rsidR="00924EA8" w:rsidRDefault="0017294F" w:rsidP="00EC41B4">
      <w:pPr>
        <w:rPr>
          <w:rFonts w:cs="Arial"/>
          <w:szCs w:val="22"/>
        </w:rPr>
      </w:pPr>
      <w:r w:rsidRPr="00604A18">
        <w:rPr>
          <w:rFonts w:cs="Arial"/>
          <w:caps/>
          <w:szCs w:val="22"/>
        </w:rPr>
        <w:t>7.1</w:t>
      </w:r>
      <w:r>
        <w:rPr>
          <w:rFonts w:cs="Arial"/>
          <w:b/>
          <w:caps/>
          <w:szCs w:val="22"/>
        </w:rPr>
        <w:t xml:space="preserve"> </w:t>
      </w:r>
      <w:r w:rsidR="00EC41B4">
        <w:rPr>
          <w:rFonts w:cs="Arial"/>
          <w:b/>
          <w:caps/>
          <w:szCs w:val="22"/>
        </w:rPr>
        <w:tab/>
      </w:r>
      <w:r w:rsidRPr="002E3A51">
        <w:rPr>
          <w:rFonts w:cs="Arial"/>
          <w:szCs w:val="22"/>
        </w:rPr>
        <w:t>There are no direct legal implications arising from this report.</w:t>
      </w:r>
    </w:p>
    <w:p w:rsidR="00EC41B4" w:rsidRPr="00F4022F" w:rsidRDefault="00EC41B4" w:rsidP="00EC41B4">
      <w:pPr>
        <w:rPr>
          <w:rFonts w:cs="Arial"/>
          <w:b/>
          <w:caps/>
          <w:szCs w:val="22"/>
        </w:rPr>
      </w:pPr>
    </w:p>
    <w:p w:rsidR="00F43895" w:rsidRDefault="006D748F" w:rsidP="00EC41B4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8</w:t>
      </w:r>
      <w:r w:rsidR="00F43895" w:rsidRPr="00F4022F">
        <w:rPr>
          <w:rFonts w:cs="Arial"/>
          <w:b/>
          <w:szCs w:val="22"/>
        </w:rPr>
        <w:t xml:space="preserve">. </w:t>
      </w:r>
      <w:r w:rsidR="00EC41B4">
        <w:rPr>
          <w:rFonts w:cs="Arial"/>
          <w:b/>
          <w:szCs w:val="22"/>
        </w:rPr>
        <w:t xml:space="preserve"> </w:t>
      </w:r>
      <w:r w:rsidR="00F43895" w:rsidRPr="00F4022F">
        <w:rPr>
          <w:rFonts w:cs="Arial"/>
          <w:b/>
          <w:szCs w:val="22"/>
        </w:rPr>
        <w:t>COMMENTS OF THE STATUTORY FINANCE OFFICER</w:t>
      </w:r>
    </w:p>
    <w:p w:rsidR="00BD4E66" w:rsidRPr="00F4022F" w:rsidRDefault="00BD4E66" w:rsidP="00EC41B4">
      <w:pPr>
        <w:ind w:left="709"/>
        <w:rPr>
          <w:rFonts w:cs="Arial"/>
          <w:b/>
          <w:szCs w:val="22"/>
        </w:rPr>
      </w:pPr>
    </w:p>
    <w:p w:rsidR="00BE2A3F" w:rsidRPr="00F4022F" w:rsidRDefault="00BE2A3F" w:rsidP="00EC41B4">
      <w:pPr>
        <w:ind w:left="709"/>
        <w:rPr>
          <w:rFonts w:cs="Arial"/>
          <w:b/>
          <w:szCs w:val="22"/>
        </w:rPr>
      </w:pPr>
    </w:p>
    <w:p w:rsidR="00F43895" w:rsidRDefault="006D748F" w:rsidP="00EC41B4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9</w:t>
      </w:r>
      <w:r w:rsidR="00EC41B4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szCs w:val="22"/>
        </w:rPr>
        <w:t>COMMENTS OF THE MONITORING OFFICER</w:t>
      </w:r>
    </w:p>
    <w:p w:rsidR="00EC41B4" w:rsidRDefault="00EC41B4" w:rsidP="00EC41B4">
      <w:pPr>
        <w:rPr>
          <w:rFonts w:cs="Arial"/>
          <w:b/>
          <w:szCs w:val="22"/>
        </w:rPr>
      </w:pPr>
    </w:p>
    <w:p w:rsidR="00EC41B4" w:rsidRPr="00EC41B4" w:rsidRDefault="00AD1E1F" w:rsidP="00EC41B4">
      <w:pPr>
        <w:ind w:left="709"/>
        <w:rPr>
          <w:rFonts w:cs="Arial"/>
          <w:szCs w:val="22"/>
        </w:rPr>
      </w:pPr>
      <w:r w:rsidRPr="00EC41B4">
        <w:rPr>
          <w:rFonts w:cs="Arial"/>
          <w:szCs w:val="22"/>
        </w:rPr>
        <w:t>There are no legal implications identified.</w:t>
      </w:r>
    </w:p>
    <w:p w:rsidR="006D748F" w:rsidRPr="00F4022F" w:rsidRDefault="006D748F" w:rsidP="00EC41B4">
      <w:pPr>
        <w:ind w:left="709"/>
        <w:rPr>
          <w:rFonts w:cs="Arial"/>
          <w:b/>
          <w:szCs w:val="22"/>
        </w:rPr>
      </w:pPr>
    </w:p>
    <w:p w:rsidR="000B5251" w:rsidRPr="00F4022F" w:rsidRDefault="006D748F" w:rsidP="00EC41B4">
      <w:pPr>
        <w:ind w:left="142" w:hanging="142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10</w:t>
      </w:r>
      <w:r w:rsidR="00EC41B4">
        <w:rPr>
          <w:rFonts w:cs="Arial"/>
          <w:b/>
          <w:szCs w:val="22"/>
        </w:rPr>
        <w:t xml:space="preserve">. </w:t>
      </w:r>
      <w:r w:rsidR="000B5251" w:rsidRPr="00F4022F">
        <w:rPr>
          <w:rFonts w:cs="Arial"/>
          <w:b/>
          <w:szCs w:val="22"/>
        </w:rPr>
        <w:t xml:space="preserve">OTHER IMPLICATIONS: </w:t>
      </w:r>
    </w:p>
    <w:p w:rsidR="003C36EB" w:rsidRPr="00F4022F" w:rsidRDefault="003C36EB" w:rsidP="00F4022F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F4022F" w:rsidTr="009C1143">
        <w:trPr>
          <w:trHeight w:val="334"/>
        </w:trPr>
        <w:tc>
          <w:tcPr>
            <w:tcW w:w="3544" w:type="dxa"/>
            <w:shd w:val="clear" w:color="auto" w:fill="auto"/>
          </w:tcPr>
          <w:p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ICT / Technology</w:t>
            </w:r>
          </w:p>
          <w:p w:rsidR="002F5C5E" w:rsidRPr="00F4022F" w:rsidRDefault="002F5C5E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Property &amp; Asset Management</w:t>
            </w:r>
          </w:p>
          <w:p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515B7F" w:rsidRDefault="00515B7F" w:rsidP="00515B7F">
            <w:pPr>
              <w:ind w:left="360"/>
              <w:rPr>
                <w:rFonts w:cs="Arial"/>
                <w:b/>
                <w:szCs w:val="22"/>
              </w:rPr>
            </w:pPr>
          </w:p>
          <w:p w:rsidR="00515B7F" w:rsidRDefault="00515B7F" w:rsidP="00515B7F">
            <w:pPr>
              <w:pStyle w:val="ListParagraph"/>
              <w:rPr>
                <w:rFonts w:cs="Arial"/>
                <w:b/>
              </w:rPr>
            </w:pPr>
          </w:p>
          <w:p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Risk </w:t>
            </w:r>
          </w:p>
          <w:p w:rsidR="006D748F" w:rsidRPr="00F4022F" w:rsidRDefault="006D748F" w:rsidP="00F4022F">
            <w:pPr>
              <w:pStyle w:val="ListParagraph"/>
              <w:spacing w:line="240" w:lineRule="auto"/>
              <w:rPr>
                <w:rFonts w:ascii="Arial" w:hAnsi="Arial" w:cs="Arial"/>
                <w:b/>
              </w:rPr>
            </w:pPr>
          </w:p>
          <w:p w:rsidR="006D748F" w:rsidRPr="00F4022F" w:rsidRDefault="006D748F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6D748F" w:rsidRDefault="006D748F" w:rsidP="00F4022F">
            <w:pPr>
              <w:rPr>
                <w:rFonts w:cs="Arial"/>
                <w:b/>
                <w:szCs w:val="22"/>
              </w:rPr>
            </w:pPr>
          </w:p>
          <w:p w:rsidR="002E3A51" w:rsidRPr="00F4022F" w:rsidRDefault="002E3A51" w:rsidP="00F4022F">
            <w:pPr>
              <w:rPr>
                <w:rFonts w:cs="Arial"/>
                <w:b/>
                <w:szCs w:val="22"/>
              </w:rPr>
            </w:pPr>
          </w:p>
          <w:p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Equality &amp; Diversity </w:t>
            </w:r>
          </w:p>
          <w:p w:rsidR="00A56681" w:rsidRPr="00F4022F" w:rsidRDefault="00A56681" w:rsidP="00F4022F">
            <w:pPr>
              <w:rPr>
                <w:rFonts w:cs="Arial"/>
                <w:b/>
                <w:szCs w:val="22"/>
              </w:rPr>
            </w:pPr>
          </w:p>
          <w:p w:rsidR="002F5C5E" w:rsidRPr="00F4022F" w:rsidRDefault="002F5C5E" w:rsidP="00F4022F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F5C5E" w:rsidRPr="00F4022F" w:rsidRDefault="002F5C5E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F43895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:rsidR="00515B7F" w:rsidRDefault="00515B7F" w:rsidP="00F4022F">
            <w:pPr>
              <w:rPr>
                <w:rFonts w:cs="Arial"/>
                <w:szCs w:val="22"/>
              </w:rPr>
            </w:pPr>
          </w:p>
          <w:p w:rsidR="00515B7F" w:rsidRPr="00F4022F" w:rsidRDefault="00515B7F" w:rsidP="00F4022F">
            <w:pPr>
              <w:rPr>
                <w:rFonts w:cs="Arial"/>
                <w:szCs w:val="22"/>
              </w:rPr>
            </w:pP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2E3A51" w:rsidRDefault="0017294F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We must continue to improve</w:t>
            </w:r>
            <w:r w:rsidR="002E3A51">
              <w:rPr>
                <w:rFonts w:cs="Arial"/>
                <w:szCs w:val="22"/>
              </w:rPr>
              <w:t xml:space="preserve"> further</w:t>
            </w:r>
            <w:r>
              <w:rPr>
                <w:rFonts w:cs="Arial"/>
                <w:szCs w:val="22"/>
              </w:rPr>
              <w:t xml:space="preserve"> the quality of the service. We must do everything possible to protect the general public.</w:t>
            </w:r>
            <w:r w:rsidR="002E3A51">
              <w:rPr>
                <w:rFonts w:cs="Arial"/>
                <w:szCs w:val="22"/>
              </w:rPr>
              <w:t xml:space="preserve"> A failure to continue to achieve high standards in our Licensing service could result in reputational damage.</w:t>
            </w:r>
          </w:p>
          <w:p w:rsidR="00F43895" w:rsidRDefault="002E3A51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2E3A51" w:rsidRPr="00F4022F" w:rsidRDefault="002E3A51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</w:tc>
      </w:tr>
    </w:tbl>
    <w:p w:rsidR="000C24D0" w:rsidRDefault="000C24D0" w:rsidP="002F5C5E">
      <w:pPr>
        <w:rPr>
          <w:b/>
          <w:szCs w:val="22"/>
        </w:rPr>
      </w:pPr>
    </w:p>
    <w:p w:rsidR="000C24D0" w:rsidRDefault="000C24D0" w:rsidP="002F5C5E">
      <w:pPr>
        <w:rPr>
          <w:b/>
          <w:szCs w:val="22"/>
        </w:rPr>
      </w:pPr>
    </w:p>
    <w:p w:rsidR="002F5C5E" w:rsidRDefault="002F5C5E" w:rsidP="000B5251">
      <w:pPr>
        <w:rPr>
          <w:szCs w:val="22"/>
        </w:rPr>
      </w:pPr>
    </w:p>
    <w:p w:rsidR="000B5251" w:rsidRDefault="000B5251" w:rsidP="000B5251">
      <w:pPr>
        <w:rPr>
          <w:i/>
          <w:color w:val="0070C0"/>
          <w:szCs w:val="22"/>
        </w:rPr>
      </w:pPr>
    </w:p>
    <w:p w:rsidR="000C24D0" w:rsidRDefault="000C24D0" w:rsidP="000B5251">
      <w:pPr>
        <w:rPr>
          <w:i/>
          <w:color w:val="0070C0"/>
          <w:szCs w:val="22"/>
        </w:rPr>
      </w:pPr>
    </w:p>
    <w:p w:rsidR="000B5251" w:rsidRDefault="000B5251" w:rsidP="000B5251">
      <w:pPr>
        <w:rPr>
          <w:b/>
        </w:rPr>
      </w:pPr>
      <w:r w:rsidRPr="00792A2B">
        <w:rPr>
          <w:b/>
        </w:rPr>
        <w:t>1</w:t>
      </w:r>
      <w:r w:rsidR="00F75C9D">
        <w:rPr>
          <w:b/>
        </w:rPr>
        <w:t>1</w:t>
      </w:r>
      <w:r w:rsidRPr="00792A2B">
        <w:rPr>
          <w:b/>
        </w:rPr>
        <w:t xml:space="preserve">. APPENDICES </w:t>
      </w:r>
    </w:p>
    <w:p w:rsidR="000B5251" w:rsidRDefault="000B5251" w:rsidP="000B5251">
      <w:pPr>
        <w:rPr>
          <w:b/>
        </w:rPr>
      </w:pPr>
    </w:p>
    <w:p w:rsidR="0017294F" w:rsidRDefault="0017294F" w:rsidP="00EC41B4">
      <w:pPr>
        <w:ind w:firstLine="720"/>
        <w:rPr>
          <w:szCs w:val="22"/>
        </w:rPr>
      </w:pPr>
      <w:r>
        <w:rPr>
          <w:szCs w:val="22"/>
        </w:rPr>
        <w:t xml:space="preserve">Appendix </w:t>
      </w:r>
      <w:r w:rsidR="0083663F">
        <w:rPr>
          <w:szCs w:val="22"/>
        </w:rPr>
        <w:t>A</w:t>
      </w:r>
      <w:r w:rsidR="00F75C9D">
        <w:rPr>
          <w:szCs w:val="22"/>
        </w:rPr>
        <w:t xml:space="preserve"> - </w:t>
      </w:r>
      <w:r>
        <w:rPr>
          <w:szCs w:val="22"/>
        </w:rPr>
        <w:t>Improvement Plan 2018/19</w:t>
      </w:r>
    </w:p>
    <w:p w:rsidR="001C5E49" w:rsidRDefault="001C5E49" w:rsidP="001C5E49">
      <w:pPr>
        <w:tabs>
          <w:tab w:val="left" w:pos="2839"/>
        </w:tabs>
        <w:ind w:left="426" w:hanging="426"/>
        <w:rPr>
          <w:b/>
        </w:rPr>
      </w:pPr>
    </w:p>
    <w:p w:rsidR="006D748F" w:rsidRPr="007F1945" w:rsidRDefault="006D748F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555"/>
        <w:gridCol w:w="2351"/>
      </w:tblGrid>
      <w:tr w:rsidR="001C5E49" w:rsidTr="001D28E4">
        <w:tc>
          <w:tcPr>
            <w:tcW w:w="5614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5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51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:rsidTr="001D28E4">
        <w:tc>
          <w:tcPr>
            <w:tcW w:w="5614" w:type="dxa"/>
            <w:shd w:val="clear" w:color="auto" w:fill="auto"/>
          </w:tcPr>
          <w:p w:rsidR="00C903AC" w:rsidRDefault="00C903AC" w:rsidP="00C903AC">
            <w:pPr>
              <w:rPr>
                <w:rFonts w:cs="Arial"/>
                <w:i/>
                <w:color w:val="2E74B5" w:themeColor="accent1" w:themeShade="BF"/>
              </w:rPr>
            </w:pPr>
          </w:p>
          <w:p w:rsidR="00DD2D13" w:rsidRPr="00DD2D13" w:rsidRDefault="009674A1" w:rsidP="00C903AC">
            <w:pPr>
              <w:rPr>
                <w:rFonts w:cs="Arial"/>
              </w:rPr>
            </w:pPr>
            <w:r>
              <w:rPr>
                <w:rFonts w:cs="Arial"/>
              </w:rPr>
              <w:t>Mark Marshall</w:t>
            </w:r>
          </w:p>
          <w:p w:rsidR="00C903AC" w:rsidRPr="0031059E" w:rsidRDefault="00C903AC" w:rsidP="00C903AC">
            <w:pPr>
              <w:ind w:left="-539" w:firstLine="539"/>
              <w:rPr>
                <w:rFonts w:cs="Arial"/>
              </w:rPr>
            </w:pPr>
          </w:p>
        </w:tc>
        <w:tc>
          <w:tcPr>
            <w:tcW w:w="1555" w:type="dxa"/>
            <w:shd w:val="clear" w:color="auto" w:fill="auto"/>
          </w:tcPr>
          <w:p w:rsidR="00745026" w:rsidRDefault="00745026" w:rsidP="00C903AC">
            <w:pPr>
              <w:rPr>
                <w:rFonts w:cs="Arial"/>
              </w:rPr>
            </w:pPr>
          </w:p>
          <w:p w:rsidR="00C903AC" w:rsidRDefault="00DD2D13" w:rsidP="00C903AC">
            <w:pPr>
              <w:rPr>
                <w:rFonts w:cs="Arial"/>
              </w:rPr>
            </w:pPr>
            <w:r>
              <w:rPr>
                <w:rFonts w:cs="Arial"/>
              </w:rPr>
              <w:t>01772 625401</w:t>
            </w:r>
          </w:p>
          <w:p w:rsidR="00745026" w:rsidRPr="0031059E" w:rsidRDefault="00745026" w:rsidP="00C903AC">
            <w:pPr>
              <w:rPr>
                <w:rFonts w:cs="Arial"/>
              </w:rPr>
            </w:pPr>
          </w:p>
        </w:tc>
        <w:tc>
          <w:tcPr>
            <w:tcW w:w="2351" w:type="dxa"/>
            <w:shd w:val="clear" w:color="auto" w:fill="auto"/>
          </w:tcPr>
          <w:p w:rsidR="00745026" w:rsidRDefault="00745026" w:rsidP="00C903AC">
            <w:pPr>
              <w:rPr>
                <w:rFonts w:cs="Arial"/>
              </w:rPr>
            </w:pPr>
          </w:p>
          <w:p w:rsidR="00C903AC" w:rsidRPr="0031059E" w:rsidRDefault="00D64E92" w:rsidP="00C903AC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bookmarkStart w:id="0" w:name="_GoBack"/>
            <w:bookmarkEnd w:id="0"/>
            <w:r>
              <w:rPr>
                <w:rFonts w:cs="Arial"/>
              </w:rPr>
              <w:t xml:space="preserve"> November 2018</w:t>
            </w:r>
          </w:p>
        </w:tc>
      </w:tr>
    </w:tbl>
    <w:p w:rsidR="001C5E49" w:rsidRPr="009725FB" w:rsidRDefault="001C5E49" w:rsidP="00DD2D13">
      <w:pPr>
        <w:tabs>
          <w:tab w:val="left" w:pos="2839"/>
        </w:tabs>
        <w:rPr>
          <w:rFonts w:cs="Arial"/>
        </w:rPr>
      </w:pPr>
    </w:p>
    <w:sectPr w:rsidR="001C5E49" w:rsidRPr="009725FB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3A" w:rsidRDefault="000F783A">
      <w:r>
        <w:separator/>
      </w:r>
    </w:p>
  </w:endnote>
  <w:endnote w:type="continuationSeparator" w:id="0">
    <w:p w:rsidR="000F783A" w:rsidRDefault="000F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1830DA">
      <w:rPr>
        <w:noProof/>
        <w:sz w:val="24"/>
      </w:rPr>
      <w:t>2</w:t>
    </w:r>
    <w:r w:rsidRPr="00FD7B65">
      <w:rPr>
        <w:noProof/>
        <w:sz w:val="24"/>
      </w:rPr>
      <w:fldChar w:fldCharType="end"/>
    </w:r>
  </w:p>
  <w:p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3A" w:rsidRDefault="000F783A">
      <w:r>
        <w:separator/>
      </w:r>
    </w:p>
  </w:footnote>
  <w:footnote w:type="continuationSeparator" w:id="0">
    <w:p w:rsidR="000F783A" w:rsidRDefault="000F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00B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6C14DF9"/>
    <w:multiLevelType w:val="hybridMultilevel"/>
    <w:tmpl w:val="42588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9450D"/>
    <w:multiLevelType w:val="hybridMultilevel"/>
    <w:tmpl w:val="A08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C1C"/>
    <w:multiLevelType w:val="hybridMultilevel"/>
    <w:tmpl w:val="EF64909A"/>
    <w:lvl w:ilvl="0" w:tplc="71CE79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9C3F16"/>
    <w:multiLevelType w:val="hybridMultilevel"/>
    <w:tmpl w:val="61CAD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271A"/>
    <w:multiLevelType w:val="hybridMultilevel"/>
    <w:tmpl w:val="B76A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396D"/>
    <w:multiLevelType w:val="hybridMultilevel"/>
    <w:tmpl w:val="7D20B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5B325EC"/>
    <w:multiLevelType w:val="multilevel"/>
    <w:tmpl w:val="240091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E4CA2"/>
    <w:multiLevelType w:val="multilevel"/>
    <w:tmpl w:val="32E860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7" w15:restartNumberingAfterBreak="0">
    <w:nsid w:val="1AD478C1"/>
    <w:multiLevelType w:val="hybridMultilevel"/>
    <w:tmpl w:val="BB10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8963248"/>
    <w:multiLevelType w:val="hybridMultilevel"/>
    <w:tmpl w:val="E04C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7094"/>
    <w:multiLevelType w:val="hybridMultilevel"/>
    <w:tmpl w:val="7F289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A435F"/>
    <w:multiLevelType w:val="multilevel"/>
    <w:tmpl w:val="AEEE69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34BD0"/>
    <w:multiLevelType w:val="hybridMultilevel"/>
    <w:tmpl w:val="3BDE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60002"/>
    <w:multiLevelType w:val="hybridMultilevel"/>
    <w:tmpl w:val="E85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5D20"/>
    <w:multiLevelType w:val="hybridMultilevel"/>
    <w:tmpl w:val="B90E0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A94329"/>
    <w:multiLevelType w:val="hybridMultilevel"/>
    <w:tmpl w:val="4D86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12AAF"/>
    <w:multiLevelType w:val="hybridMultilevel"/>
    <w:tmpl w:val="49A6CFAA"/>
    <w:lvl w:ilvl="0" w:tplc="8B50E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1843F1"/>
    <w:multiLevelType w:val="hybridMultilevel"/>
    <w:tmpl w:val="55540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7085A"/>
    <w:multiLevelType w:val="hybridMultilevel"/>
    <w:tmpl w:val="3DD207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7F11"/>
    <w:multiLevelType w:val="multilevel"/>
    <w:tmpl w:val="0E5411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AB4727"/>
    <w:multiLevelType w:val="hybridMultilevel"/>
    <w:tmpl w:val="D5128D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E30E0F"/>
    <w:multiLevelType w:val="multilevel"/>
    <w:tmpl w:val="F3E684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7" w15:restartNumberingAfterBreak="0">
    <w:nsid w:val="65FF3D60"/>
    <w:multiLevelType w:val="hybridMultilevel"/>
    <w:tmpl w:val="9BE2B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D95319"/>
    <w:multiLevelType w:val="multilevel"/>
    <w:tmpl w:val="65A045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3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40" w15:restartNumberingAfterBreak="0">
    <w:nsid w:val="6D1876AA"/>
    <w:multiLevelType w:val="hybridMultilevel"/>
    <w:tmpl w:val="652A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1F3A66"/>
    <w:multiLevelType w:val="multilevel"/>
    <w:tmpl w:val="1A9C3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4DA2822"/>
    <w:multiLevelType w:val="hybridMultilevel"/>
    <w:tmpl w:val="AEAE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18"/>
  </w:num>
  <w:num w:numId="5">
    <w:abstractNumId w:val="26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22"/>
  </w:num>
  <w:num w:numId="13">
    <w:abstractNumId w:val="1"/>
  </w:num>
  <w:num w:numId="14">
    <w:abstractNumId w:val="39"/>
  </w:num>
  <w:num w:numId="15">
    <w:abstractNumId w:val="16"/>
  </w:num>
  <w:num w:numId="16">
    <w:abstractNumId w:val="15"/>
  </w:num>
  <w:num w:numId="17">
    <w:abstractNumId w:val="5"/>
  </w:num>
  <w:num w:numId="18">
    <w:abstractNumId w:val="24"/>
  </w:num>
  <w:num w:numId="19">
    <w:abstractNumId w:val="19"/>
  </w:num>
  <w:num w:numId="20">
    <w:abstractNumId w:val="17"/>
  </w:num>
  <w:num w:numId="21">
    <w:abstractNumId w:val="20"/>
  </w:num>
  <w:num w:numId="22">
    <w:abstractNumId w:val="3"/>
  </w:num>
  <w:num w:numId="23">
    <w:abstractNumId w:val="8"/>
  </w:num>
  <w:num w:numId="24">
    <w:abstractNumId w:val="32"/>
  </w:num>
  <w:num w:numId="25">
    <w:abstractNumId w:val="36"/>
  </w:num>
  <w:num w:numId="26">
    <w:abstractNumId w:val="13"/>
  </w:num>
  <w:num w:numId="27">
    <w:abstractNumId w:val="21"/>
  </w:num>
  <w:num w:numId="28">
    <w:abstractNumId w:val="34"/>
  </w:num>
  <w:num w:numId="29">
    <w:abstractNumId w:val="38"/>
  </w:num>
  <w:num w:numId="30">
    <w:abstractNumId w:val="41"/>
  </w:num>
  <w:num w:numId="31">
    <w:abstractNumId w:val="7"/>
  </w:num>
  <w:num w:numId="32">
    <w:abstractNumId w:val="31"/>
  </w:num>
  <w:num w:numId="33">
    <w:abstractNumId w:val="9"/>
  </w:num>
  <w:num w:numId="34">
    <w:abstractNumId w:val="37"/>
  </w:num>
  <w:num w:numId="35">
    <w:abstractNumId w:val="35"/>
  </w:num>
  <w:num w:numId="36">
    <w:abstractNumId w:val="40"/>
  </w:num>
  <w:num w:numId="37">
    <w:abstractNumId w:val="2"/>
  </w:num>
  <w:num w:numId="38">
    <w:abstractNumId w:val="27"/>
  </w:num>
  <w:num w:numId="39">
    <w:abstractNumId w:val="25"/>
  </w:num>
  <w:num w:numId="40">
    <w:abstractNumId w:val="42"/>
  </w:num>
  <w:num w:numId="41">
    <w:abstractNumId w:val="29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06CE"/>
    <w:rsid w:val="000148AE"/>
    <w:rsid w:val="00016DD3"/>
    <w:rsid w:val="00025DED"/>
    <w:rsid w:val="00067B79"/>
    <w:rsid w:val="000B5251"/>
    <w:rsid w:val="000B621E"/>
    <w:rsid w:val="000C24D0"/>
    <w:rsid w:val="000E10FE"/>
    <w:rsid w:val="000F2C8A"/>
    <w:rsid w:val="000F783A"/>
    <w:rsid w:val="00111C03"/>
    <w:rsid w:val="00153993"/>
    <w:rsid w:val="001544DD"/>
    <w:rsid w:val="0016571F"/>
    <w:rsid w:val="0017294F"/>
    <w:rsid w:val="001830DA"/>
    <w:rsid w:val="00184E1D"/>
    <w:rsid w:val="00185E4F"/>
    <w:rsid w:val="001938D6"/>
    <w:rsid w:val="001B1D4F"/>
    <w:rsid w:val="001C180B"/>
    <w:rsid w:val="001C5E49"/>
    <w:rsid w:val="001D28E4"/>
    <w:rsid w:val="001F4161"/>
    <w:rsid w:val="002144D0"/>
    <w:rsid w:val="002221BD"/>
    <w:rsid w:val="00237E9D"/>
    <w:rsid w:val="00242744"/>
    <w:rsid w:val="0025591B"/>
    <w:rsid w:val="00262CC8"/>
    <w:rsid w:val="00274776"/>
    <w:rsid w:val="002820A5"/>
    <w:rsid w:val="002A171F"/>
    <w:rsid w:val="002D62DF"/>
    <w:rsid w:val="002E3A51"/>
    <w:rsid w:val="002E4FF4"/>
    <w:rsid w:val="002F5C5E"/>
    <w:rsid w:val="003400B6"/>
    <w:rsid w:val="00342AB1"/>
    <w:rsid w:val="00345C71"/>
    <w:rsid w:val="003763A1"/>
    <w:rsid w:val="00386AAD"/>
    <w:rsid w:val="003902A2"/>
    <w:rsid w:val="003A1B3F"/>
    <w:rsid w:val="003A23D3"/>
    <w:rsid w:val="003A2919"/>
    <w:rsid w:val="003B1E6D"/>
    <w:rsid w:val="003C36EB"/>
    <w:rsid w:val="003E33E6"/>
    <w:rsid w:val="003F0035"/>
    <w:rsid w:val="003F5603"/>
    <w:rsid w:val="00405D4A"/>
    <w:rsid w:val="004156D2"/>
    <w:rsid w:val="004218EA"/>
    <w:rsid w:val="0042456A"/>
    <w:rsid w:val="00426F50"/>
    <w:rsid w:val="00442C46"/>
    <w:rsid w:val="00447117"/>
    <w:rsid w:val="00474DA8"/>
    <w:rsid w:val="0047741D"/>
    <w:rsid w:val="0048503A"/>
    <w:rsid w:val="004A45D4"/>
    <w:rsid w:val="004D7260"/>
    <w:rsid w:val="004F23B3"/>
    <w:rsid w:val="005034C0"/>
    <w:rsid w:val="005041BB"/>
    <w:rsid w:val="00515B7F"/>
    <w:rsid w:val="00525728"/>
    <w:rsid w:val="00533525"/>
    <w:rsid w:val="00533667"/>
    <w:rsid w:val="005368C1"/>
    <w:rsid w:val="00547120"/>
    <w:rsid w:val="00547481"/>
    <w:rsid w:val="005515D9"/>
    <w:rsid w:val="00576A82"/>
    <w:rsid w:val="005A26AD"/>
    <w:rsid w:val="005B0C36"/>
    <w:rsid w:val="005C12B9"/>
    <w:rsid w:val="005D4F59"/>
    <w:rsid w:val="0060374B"/>
    <w:rsid w:val="00604A18"/>
    <w:rsid w:val="00630F86"/>
    <w:rsid w:val="00633396"/>
    <w:rsid w:val="00645A0B"/>
    <w:rsid w:val="006555E6"/>
    <w:rsid w:val="00662C02"/>
    <w:rsid w:val="00674679"/>
    <w:rsid w:val="006879CA"/>
    <w:rsid w:val="006B645E"/>
    <w:rsid w:val="006B7116"/>
    <w:rsid w:val="006C04C1"/>
    <w:rsid w:val="006C209A"/>
    <w:rsid w:val="006D748F"/>
    <w:rsid w:val="006E09FB"/>
    <w:rsid w:val="006F2214"/>
    <w:rsid w:val="006F76A3"/>
    <w:rsid w:val="00707E99"/>
    <w:rsid w:val="00710B5C"/>
    <w:rsid w:val="00712E3F"/>
    <w:rsid w:val="00713633"/>
    <w:rsid w:val="0073635E"/>
    <w:rsid w:val="00745026"/>
    <w:rsid w:val="00772B9C"/>
    <w:rsid w:val="00777EF3"/>
    <w:rsid w:val="00790F8A"/>
    <w:rsid w:val="00792A2B"/>
    <w:rsid w:val="007B4D3D"/>
    <w:rsid w:val="007F35CE"/>
    <w:rsid w:val="0083663F"/>
    <w:rsid w:val="00837748"/>
    <w:rsid w:val="008535C0"/>
    <w:rsid w:val="008905BA"/>
    <w:rsid w:val="00893AD2"/>
    <w:rsid w:val="008A2F6B"/>
    <w:rsid w:val="008A42E3"/>
    <w:rsid w:val="008A5EFE"/>
    <w:rsid w:val="008A77AB"/>
    <w:rsid w:val="008B41C5"/>
    <w:rsid w:val="008C3B1A"/>
    <w:rsid w:val="008D3B75"/>
    <w:rsid w:val="008D623F"/>
    <w:rsid w:val="008F4B91"/>
    <w:rsid w:val="0090542C"/>
    <w:rsid w:val="009153B2"/>
    <w:rsid w:val="00924EA8"/>
    <w:rsid w:val="009350CB"/>
    <w:rsid w:val="00945281"/>
    <w:rsid w:val="00947D05"/>
    <w:rsid w:val="009538AE"/>
    <w:rsid w:val="009674A1"/>
    <w:rsid w:val="00980267"/>
    <w:rsid w:val="00983CD5"/>
    <w:rsid w:val="00992E79"/>
    <w:rsid w:val="00993D2F"/>
    <w:rsid w:val="009A714A"/>
    <w:rsid w:val="009C0D8B"/>
    <w:rsid w:val="009C1143"/>
    <w:rsid w:val="009E0DBB"/>
    <w:rsid w:val="009E48E0"/>
    <w:rsid w:val="00A00B4A"/>
    <w:rsid w:val="00A1406A"/>
    <w:rsid w:val="00A22D02"/>
    <w:rsid w:val="00A30426"/>
    <w:rsid w:val="00A33B5B"/>
    <w:rsid w:val="00A4702E"/>
    <w:rsid w:val="00A50754"/>
    <w:rsid w:val="00A55825"/>
    <w:rsid w:val="00A56681"/>
    <w:rsid w:val="00A746E3"/>
    <w:rsid w:val="00A76482"/>
    <w:rsid w:val="00AB2853"/>
    <w:rsid w:val="00AC4A99"/>
    <w:rsid w:val="00AD1E1F"/>
    <w:rsid w:val="00AF1F82"/>
    <w:rsid w:val="00B05FE8"/>
    <w:rsid w:val="00B13841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93AA2"/>
    <w:rsid w:val="00BA2606"/>
    <w:rsid w:val="00BC6635"/>
    <w:rsid w:val="00BD4E66"/>
    <w:rsid w:val="00BE2A3F"/>
    <w:rsid w:val="00C022F9"/>
    <w:rsid w:val="00C209E3"/>
    <w:rsid w:val="00C245C0"/>
    <w:rsid w:val="00C30128"/>
    <w:rsid w:val="00C33FA8"/>
    <w:rsid w:val="00C36409"/>
    <w:rsid w:val="00C378EB"/>
    <w:rsid w:val="00C47B54"/>
    <w:rsid w:val="00C52450"/>
    <w:rsid w:val="00C64ED1"/>
    <w:rsid w:val="00C66BAA"/>
    <w:rsid w:val="00C903AC"/>
    <w:rsid w:val="00CB32DF"/>
    <w:rsid w:val="00CB34AF"/>
    <w:rsid w:val="00CC3246"/>
    <w:rsid w:val="00CE3DA1"/>
    <w:rsid w:val="00CE4482"/>
    <w:rsid w:val="00CF6B60"/>
    <w:rsid w:val="00CF7677"/>
    <w:rsid w:val="00D03328"/>
    <w:rsid w:val="00D26E1E"/>
    <w:rsid w:val="00D36638"/>
    <w:rsid w:val="00D37BAE"/>
    <w:rsid w:val="00D64E92"/>
    <w:rsid w:val="00D772AB"/>
    <w:rsid w:val="00D90A00"/>
    <w:rsid w:val="00D91845"/>
    <w:rsid w:val="00D9371C"/>
    <w:rsid w:val="00DA1EF0"/>
    <w:rsid w:val="00DB3FD0"/>
    <w:rsid w:val="00DD2D13"/>
    <w:rsid w:val="00DE5E12"/>
    <w:rsid w:val="00DF3BF5"/>
    <w:rsid w:val="00E2196F"/>
    <w:rsid w:val="00E2276E"/>
    <w:rsid w:val="00E41950"/>
    <w:rsid w:val="00E51346"/>
    <w:rsid w:val="00E569CB"/>
    <w:rsid w:val="00E577A2"/>
    <w:rsid w:val="00E60A53"/>
    <w:rsid w:val="00E63940"/>
    <w:rsid w:val="00E7266E"/>
    <w:rsid w:val="00E733A5"/>
    <w:rsid w:val="00E753EC"/>
    <w:rsid w:val="00E84459"/>
    <w:rsid w:val="00E971A2"/>
    <w:rsid w:val="00EB2D32"/>
    <w:rsid w:val="00EB7C94"/>
    <w:rsid w:val="00EC41B4"/>
    <w:rsid w:val="00ED257A"/>
    <w:rsid w:val="00EF3675"/>
    <w:rsid w:val="00EF590B"/>
    <w:rsid w:val="00F040CF"/>
    <w:rsid w:val="00F3057A"/>
    <w:rsid w:val="00F30E9C"/>
    <w:rsid w:val="00F4022F"/>
    <w:rsid w:val="00F43895"/>
    <w:rsid w:val="00F55E4D"/>
    <w:rsid w:val="00F61752"/>
    <w:rsid w:val="00F67F95"/>
    <w:rsid w:val="00F75C9D"/>
    <w:rsid w:val="00FA7E25"/>
    <w:rsid w:val="00FC391E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4A"/>
    <w:rPr>
      <w:rFonts w:ascii="Arial" w:hAnsi="Arial"/>
      <w:b/>
      <w:bCs/>
    </w:rPr>
  </w:style>
  <w:style w:type="paragraph" w:customStyle="1" w:styleId="Default">
    <w:name w:val="Default"/>
    <w:rsid w:val="00A3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42744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B6BD-D5B7-484F-A0B4-DD785A9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Lynch, Charlotte</cp:lastModifiedBy>
  <cp:revision>5</cp:revision>
  <cp:lastPrinted>2018-03-14T15:24:00Z</cp:lastPrinted>
  <dcterms:created xsi:type="dcterms:W3CDTF">2018-11-12T08:42:00Z</dcterms:created>
  <dcterms:modified xsi:type="dcterms:W3CDTF">2018-11-12T11:30:00Z</dcterms:modified>
</cp:coreProperties>
</file>